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069F" w14:textId="32A35990" w:rsidR="00A5001B" w:rsidRPr="00A5001B" w:rsidRDefault="00A5001B" w:rsidP="00A5001B">
      <w:pPr>
        <w:pStyle w:val="Heading3"/>
        <w:jc w:val="center"/>
        <w:rPr>
          <w:b/>
          <w:bCs/>
        </w:rPr>
      </w:pPr>
      <w:r w:rsidRPr="00A5001B">
        <w:rPr>
          <w:b/>
          <w:bCs/>
        </w:rPr>
        <w:t>Technical Assistance Session Highlights</w:t>
      </w:r>
    </w:p>
    <w:p w14:paraId="208CC526" w14:textId="77777777" w:rsidR="00A5001B" w:rsidRDefault="00A5001B" w:rsidP="00A5001B">
      <w:pPr>
        <w:pStyle w:val="Heading3"/>
        <w:jc w:val="center"/>
        <w:rPr>
          <w:b/>
          <w:bCs/>
        </w:rPr>
      </w:pPr>
      <w:r w:rsidRPr="00A5001B">
        <w:rPr>
          <w:b/>
          <w:bCs/>
        </w:rPr>
        <w:t>Substance Use, Overdose, and Brain Injury: Integrating Trauma Informed, Person Centered Care</w:t>
      </w:r>
    </w:p>
    <w:p w14:paraId="11040BE8" w14:textId="746D5634" w:rsidR="00A5001B" w:rsidRPr="00A02463" w:rsidRDefault="00A02463" w:rsidP="00A5001B">
      <w:pPr>
        <w:jc w:val="center"/>
        <w:rPr>
          <w:rStyle w:val="Hyperlink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"https://www.youtube.com/watch?v=C6NYnRLPCmU&amp;list=PLqH_EHk_lfxDijaYE8dWyMKpqD804wRbU"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5001B" w:rsidRPr="00A02463">
        <w:rPr>
          <w:rStyle w:val="Hyperlink"/>
          <w:b/>
          <w:bCs/>
        </w:rPr>
        <w:t>Video Link</w:t>
      </w:r>
    </w:p>
    <w:p w14:paraId="4AA5BD0B" w14:textId="2AFA3F2D" w:rsidR="00A5001B" w:rsidRDefault="00A02463" w:rsidP="00A5001B">
      <w:pPr>
        <w:pStyle w:val="Heading4"/>
        <w:spacing w:after="160"/>
        <w:rPr>
          <w:b/>
          <w:bCs/>
          <w:sz w:val="24"/>
          <w:szCs w:val="24"/>
          <w:u w:val="single"/>
        </w:rPr>
      </w:pPr>
      <w:r>
        <w:rPr>
          <w:rFonts w:eastAsiaTheme="minorHAnsi" w:cstheme="minorBidi"/>
          <w:b/>
          <w:bCs/>
          <w:i w:val="0"/>
          <w:iCs w:val="0"/>
          <w:color w:val="auto"/>
        </w:rPr>
        <w:fldChar w:fldCharType="end"/>
      </w:r>
      <w:r w:rsidR="00A5001B" w:rsidRPr="00A5001B">
        <w:rPr>
          <w:b/>
          <w:bCs/>
          <w:sz w:val="24"/>
          <w:szCs w:val="24"/>
          <w:u w:val="single"/>
        </w:rPr>
        <w:t>Key Takeaways</w:t>
      </w:r>
    </w:p>
    <w:p w14:paraId="535233EC" w14:textId="6730BBF9" w:rsidR="00A5001B" w:rsidRPr="00A5001B" w:rsidRDefault="00A5001B" w:rsidP="00A5001B">
      <w:pPr>
        <w:rPr>
          <w:b/>
          <w:bCs/>
          <w:color w:val="0F9ED5" w:themeColor="accent4"/>
          <w:u w:val="single"/>
        </w:rPr>
      </w:pPr>
      <w:r w:rsidRPr="00A5001B">
        <w:rPr>
          <w:b/>
          <w:bCs/>
          <w:color w:val="0F9ED5" w:themeColor="accent4"/>
          <w:u w:val="single"/>
        </w:rPr>
        <w:t>Recognize the Overlap Between Overdose, Trauma, and Brain Injury</w:t>
      </w:r>
    </w:p>
    <w:p w14:paraId="139ED847" w14:textId="742ABACB" w:rsidR="00A5001B" w:rsidRPr="00A5001B" w:rsidRDefault="00A5001B" w:rsidP="00F13E71">
      <w:pPr>
        <w:numPr>
          <w:ilvl w:val="0"/>
          <w:numId w:val="2"/>
        </w:numPr>
        <w:spacing w:after="0"/>
      </w:pPr>
      <w:r w:rsidRPr="00A5001B">
        <w:t xml:space="preserve">An estimated 40–60% of individuals with </w:t>
      </w:r>
      <w:r>
        <w:t>substance use disorder (SUD) have experienced trauma</w:t>
      </w:r>
      <w:r w:rsidR="004277F5">
        <w:t>.</w:t>
      </w:r>
    </w:p>
    <w:p w14:paraId="4FDBD2B7" w14:textId="21D9783A" w:rsidR="00A5001B" w:rsidRPr="00A5001B" w:rsidRDefault="00A5001B" w:rsidP="00F13E71">
      <w:pPr>
        <w:numPr>
          <w:ilvl w:val="0"/>
          <w:numId w:val="2"/>
        </w:numPr>
        <w:spacing w:after="0"/>
      </w:pPr>
      <w:r w:rsidRPr="00A5001B">
        <w:t>Non-fatal overdose can cause anoxic (no oxygen) or hypoxic (low oxygen) brain injury</w:t>
      </w:r>
      <w:r>
        <w:t xml:space="preserve"> that can go </w:t>
      </w:r>
      <w:r w:rsidRPr="00A5001B">
        <w:t>undetected and untreated.</w:t>
      </w:r>
    </w:p>
    <w:p w14:paraId="3F2F95CA" w14:textId="785F37EA" w:rsidR="00A5001B" w:rsidRPr="00A5001B" w:rsidRDefault="00A5001B" w:rsidP="00F13E71">
      <w:pPr>
        <w:numPr>
          <w:ilvl w:val="0"/>
          <w:numId w:val="2"/>
        </w:numPr>
        <w:spacing w:after="0"/>
      </w:pPr>
      <w:r w:rsidRPr="00A5001B">
        <w:t>Falls during overdose events</w:t>
      </w:r>
      <w:r>
        <w:t xml:space="preserve"> or other substance related accidents</w:t>
      </w:r>
      <w:r w:rsidRPr="00A5001B">
        <w:t xml:space="preserve"> may cause concussions or traumatic brain injuries (TBI), especially when the individual strikes their head.</w:t>
      </w:r>
    </w:p>
    <w:p w14:paraId="1F924206" w14:textId="77777777" w:rsidR="00A5001B" w:rsidRPr="00A5001B" w:rsidRDefault="00A5001B" w:rsidP="00F13E71">
      <w:pPr>
        <w:numPr>
          <w:ilvl w:val="0"/>
          <w:numId w:val="2"/>
        </w:numPr>
        <w:spacing w:after="0"/>
      </w:pPr>
      <w:r w:rsidRPr="00A5001B">
        <w:t>Partner-Inflicted Brain Injury (PIBI) includes injury from strangulation or blows to the head. Often goes unrecognized in both health and justice settings.</w:t>
      </w:r>
    </w:p>
    <w:p w14:paraId="48FB9946" w14:textId="77777777" w:rsidR="00A5001B" w:rsidRPr="00A5001B" w:rsidRDefault="00A5001B" w:rsidP="00F13E71">
      <w:pPr>
        <w:numPr>
          <w:ilvl w:val="0"/>
          <w:numId w:val="2"/>
        </w:numPr>
        <w:spacing w:after="0"/>
      </w:pPr>
      <w:r w:rsidRPr="00A5001B">
        <w:t>Symptoms from these injuries (e.g., emotional dysregulation, poor memory, impulsivity) are often misinterpreted as non-compliance, laziness, or resistance in SUD treatment.</w:t>
      </w:r>
    </w:p>
    <w:p w14:paraId="7733FC00" w14:textId="77F0F1E8" w:rsidR="00A5001B" w:rsidRPr="00A5001B" w:rsidRDefault="00A5001B" w:rsidP="00A5001B"/>
    <w:p w14:paraId="20578995" w14:textId="77777777" w:rsidR="00A5001B" w:rsidRPr="00A5001B" w:rsidRDefault="00A5001B" w:rsidP="00A5001B">
      <w:pPr>
        <w:rPr>
          <w:b/>
          <w:bCs/>
          <w:color w:val="0F9ED5" w:themeColor="accent4"/>
          <w:u w:val="single"/>
        </w:rPr>
      </w:pPr>
      <w:r w:rsidRPr="00A5001B">
        <w:rPr>
          <w:b/>
          <w:bCs/>
          <w:color w:val="0F9ED5" w:themeColor="accent4"/>
          <w:u w:val="single"/>
        </w:rPr>
        <w:t>Understand the Compounding Impact of Injury + Use</w:t>
      </w:r>
    </w:p>
    <w:p w14:paraId="5945DD16" w14:textId="4FFB84D6" w:rsidR="00A5001B" w:rsidRPr="00A5001B" w:rsidRDefault="00A5001B" w:rsidP="00F13E71">
      <w:pPr>
        <w:numPr>
          <w:ilvl w:val="0"/>
          <w:numId w:val="3"/>
        </w:numPr>
        <w:spacing w:after="0"/>
      </w:pPr>
      <w:r w:rsidRPr="00A5001B">
        <w:t>A person may be aware something feels “off” after an injury</w:t>
      </w:r>
      <w:r w:rsidR="004725F9" w:rsidRPr="004725F9">
        <w:t xml:space="preserve">, </w:t>
      </w:r>
      <w:r w:rsidRPr="00A5001B">
        <w:t>but drug use may mask or confuse this awareness, preventing recognition or help-seeking.</w:t>
      </w:r>
    </w:p>
    <w:p w14:paraId="683F8B87" w14:textId="77777777" w:rsidR="00A5001B" w:rsidRPr="00A5001B" w:rsidRDefault="00A5001B" w:rsidP="00F13E71">
      <w:pPr>
        <w:numPr>
          <w:ilvl w:val="0"/>
          <w:numId w:val="3"/>
        </w:numPr>
        <w:spacing w:after="0"/>
      </w:pPr>
      <w:r w:rsidRPr="00A5001B">
        <w:t>Using substances on top of an injured brain can impair healing and compound symptoms, especially with frequent overdoses and limited recovery time.</w:t>
      </w:r>
    </w:p>
    <w:p w14:paraId="68D8A184" w14:textId="2F5A0495" w:rsidR="00A5001B" w:rsidRPr="00A5001B" w:rsidRDefault="00A5001B" w:rsidP="00F13E71">
      <w:pPr>
        <w:numPr>
          <w:ilvl w:val="0"/>
          <w:numId w:val="3"/>
        </w:numPr>
        <w:spacing w:after="0"/>
      </w:pPr>
      <w:r w:rsidRPr="00A5001B">
        <w:t>Cognitive effects can include:</w:t>
      </w:r>
    </w:p>
    <w:p w14:paraId="59B93F3C" w14:textId="77777777" w:rsidR="00A5001B" w:rsidRPr="00A5001B" w:rsidRDefault="00A5001B" w:rsidP="00F13E71">
      <w:pPr>
        <w:numPr>
          <w:ilvl w:val="1"/>
          <w:numId w:val="3"/>
        </w:numPr>
        <w:spacing w:after="0"/>
      </w:pPr>
      <w:r w:rsidRPr="00A5001B">
        <w:t>Poor memory</w:t>
      </w:r>
    </w:p>
    <w:p w14:paraId="32BBCB6C" w14:textId="77777777" w:rsidR="00A5001B" w:rsidRPr="00A5001B" w:rsidRDefault="00A5001B" w:rsidP="00F13E71">
      <w:pPr>
        <w:numPr>
          <w:ilvl w:val="1"/>
          <w:numId w:val="3"/>
        </w:numPr>
        <w:spacing w:after="0"/>
      </w:pPr>
      <w:r w:rsidRPr="00A5001B">
        <w:t>Slowed processing</w:t>
      </w:r>
    </w:p>
    <w:p w14:paraId="6977B3EA" w14:textId="77777777" w:rsidR="00A5001B" w:rsidRPr="00A5001B" w:rsidRDefault="00A5001B" w:rsidP="00F13E71">
      <w:pPr>
        <w:numPr>
          <w:ilvl w:val="1"/>
          <w:numId w:val="3"/>
        </w:numPr>
        <w:spacing w:after="0"/>
      </w:pPr>
      <w:r w:rsidRPr="00A5001B">
        <w:t>Attention issues</w:t>
      </w:r>
    </w:p>
    <w:p w14:paraId="303E155D" w14:textId="77777777" w:rsidR="00A5001B" w:rsidRPr="00A5001B" w:rsidRDefault="00A5001B" w:rsidP="00F13E71">
      <w:pPr>
        <w:numPr>
          <w:ilvl w:val="1"/>
          <w:numId w:val="3"/>
        </w:numPr>
        <w:spacing w:after="0"/>
      </w:pPr>
      <w:r w:rsidRPr="00A5001B">
        <w:t>Impaired executive functioning</w:t>
      </w:r>
    </w:p>
    <w:p w14:paraId="58C66634" w14:textId="67577DDC" w:rsidR="00A5001B" w:rsidRPr="00A5001B" w:rsidRDefault="00A5001B" w:rsidP="00F13E71">
      <w:pPr>
        <w:numPr>
          <w:ilvl w:val="1"/>
          <w:numId w:val="3"/>
        </w:numPr>
        <w:spacing w:after="0"/>
      </w:pPr>
      <w:r w:rsidRPr="00A5001B">
        <w:t>Emotional dysregulation (apathy, irritability, impulsiv</w:t>
      </w:r>
      <w:r w:rsidR="004277F5">
        <w:t>eness</w:t>
      </w:r>
      <w:r w:rsidRPr="00A5001B">
        <w:t>)</w:t>
      </w:r>
    </w:p>
    <w:p w14:paraId="4E4BB56D" w14:textId="2FB43650" w:rsidR="00A5001B" w:rsidRPr="00A5001B" w:rsidRDefault="00A5001B" w:rsidP="00A5001B"/>
    <w:p w14:paraId="497BFCF3" w14:textId="77777777" w:rsidR="00A5001B" w:rsidRPr="00A5001B" w:rsidRDefault="00A5001B" w:rsidP="00A5001B">
      <w:pPr>
        <w:rPr>
          <w:b/>
          <w:bCs/>
          <w:color w:val="0F9ED5" w:themeColor="accent4"/>
          <w:u w:val="single"/>
        </w:rPr>
      </w:pPr>
      <w:r w:rsidRPr="00A5001B">
        <w:rPr>
          <w:b/>
          <w:bCs/>
          <w:color w:val="0F9ED5" w:themeColor="accent4"/>
          <w:u w:val="single"/>
        </w:rPr>
        <w:t>Why This Matters for Treatment &amp; Deflection</w:t>
      </w:r>
    </w:p>
    <w:p w14:paraId="34A3D4C3" w14:textId="64AA8173" w:rsidR="00A5001B" w:rsidRPr="00A5001B" w:rsidRDefault="004725F9" w:rsidP="00F13E71">
      <w:pPr>
        <w:numPr>
          <w:ilvl w:val="0"/>
          <w:numId w:val="4"/>
        </w:numPr>
        <w:spacing w:after="0"/>
      </w:pPr>
      <w:r w:rsidRPr="004725F9">
        <w:t>Individuals</w:t>
      </w:r>
      <w:r w:rsidR="00A5001B" w:rsidRPr="00A5001B">
        <w:t xml:space="preserve"> may struggle to comply with standard expectations</w:t>
      </w:r>
      <w:r w:rsidRPr="004725F9">
        <w:t xml:space="preserve">, </w:t>
      </w:r>
      <w:r w:rsidR="00A5001B" w:rsidRPr="00A5001B">
        <w:t>especially in group settings</w:t>
      </w:r>
      <w:r w:rsidRPr="004725F9">
        <w:t xml:space="preserve">, </w:t>
      </w:r>
      <w:r w:rsidR="00A5001B" w:rsidRPr="00A5001B">
        <w:t>if cognitive impairments are unrecognized.</w:t>
      </w:r>
    </w:p>
    <w:p w14:paraId="0C26188E" w14:textId="77777777" w:rsidR="00A5001B" w:rsidRPr="00A5001B" w:rsidRDefault="00A5001B" w:rsidP="00F13E71">
      <w:pPr>
        <w:numPr>
          <w:ilvl w:val="0"/>
          <w:numId w:val="4"/>
        </w:numPr>
        <w:spacing w:after="0"/>
      </w:pPr>
      <w:r w:rsidRPr="00A5001B">
        <w:t>People with TBI may be more vulnerable to developing substance use issues post-injury, even if they had no prior SUD history.</w:t>
      </w:r>
    </w:p>
    <w:p w14:paraId="152D28C3" w14:textId="7A6FE0AD" w:rsidR="00A5001B" w:rsidRPr="00A5001B" w:rsidRDefault="00A5001B" w:rsidP="00F13E71">
      <w:pPr>
        <w:numPr>
          <w:ilvl w:val="0"/>
          <w:numId w:val="4"/>
        </w:numPr>
        <w:spacing w:after="0"/>
      </w:pPr>
      <w:r w:rsidRPr="00A5001B">
        <w:t xml:space="preserve">Alcohol is one of the </w:t>
      </w:r>
      <w:proofErr w:type="gramStart"/>
      <w:r w:rsidRPr="00A5001B">
        <w:t>most commonly used</w:t>
      </w:r>
      <w:proofErr w:type="gramEnd"/>
      <w:r w:rsidRPr="00A5001B">
        <w:t xml:space="preserve"> substances post-TBI</w:t>
      </w:r>
      <w:r w:rsidR="004725F9">
        <w:t xml:space="preserve">, </w:t>
      </w:r>
      <w:r w:rsidRPr="00A5001B">
        <w:t>often used to self-manage symptoms.</w:t>
      </w:r>
    </w:p>
    <w:p w14:paraId="00817212" w14:textId="4687143C" w:rsidR="00A5001B" w:rsidRPr="00A5001B" w:rsidRDefault="00A5001B" w:rsidP="00F13E71">
      <w:pPr>
        <w:numPr>
          <w:ilvl w:val="0"/>
          <w:numId w:val="4"/>
        </w:numPr>
        <w:spacing w:after="0"/>
      </w:pPr>
      <w:r w:rsidRPr="00A5001B">
        <w:lastRenderedPageBreak/>
        <w:t xml:space="preserve">Symptoms of TBI can </w:t>
      </w:r>
      <w:r w:rsidR="004277F5">
        <w:t xml:space="preserve">be </w:t>
      </w:r>
      <w:r w:rsidRPr="00A5001B">
        <w:t>present</w:t>
      </w:r>
      <w:r w:rsidR="004277F5">
        <w:t>ed</w:t>
      </w:r>
      <w:r w:rsidRPr="00A5001B">
        <w:t xml:space="preserve"> as behavioral, cognitive, or physical issues that interfere with treatment success</w:t>
      </w:r>
      <w:r w:rsidR="004277F5">
        <w:t xml:space="preserve">. It might be necessary to explore what they are and identify </w:t>
      </w:r>
      <w:proofErr w:type="gramStart"/>
      <w:r w:rsidRPr="00A5001B">
        <w:t>accommodations</w:t>
      </w:r>
      <w:proofErr w:type="gramEnd"/>
      <w:r w:rsidRPr="00A5001B">
        <w:t xml:space="preserve"> </w:t>
      </w:r>
      <w:r w:rsidR="004277F5">
        <w:t xml:space="preserve">that can help. </w:t>
      </w:r>
    </w:p>
    <w:p w14:paraId="0101DCFB" w14:textId="310B531F" w:rsidR="00A5001B" w:rsidRPr="00A5001B" w:rsidRDefault="00A5001B" w:rsidP="00A5001B"/>
    <w:p w14:paraId="3F8744C1" w14:textId="77777777" w:rsidR="00A5001B" w:rsidRPr="00A5001B" w:rsidRDefault="00A5001B" w:rsidP="00A5001B">
      <w:pPr>
        <w:rPr>
          <w:b/>
          <w:bCs/>
          <w:color w:val="0F9ED5" w:themeColor="accent4"/>
          <w:u w:val="single"/>
        </w:rPr>
      </w:pPr>
      <w:r w:rsidRPr="00A5001B">
        <w:rPr>
          <w:b/>
          <w:bCs/>
          <w:color w:val="0F9ED5" w:themeColor="accent4"/>
          <w:u w:val="single"/>
        </w:rPr>
        <w:t>Action Steps for Teams and Systems</w:t>
      </w:r>
    </w:p>
    <w:p w14:paraId="43656E99" w14:textId="77777777" w:rsidR="00A5001B" w:rsidRPr="00A5001B" w:rsidRDefault="00A5001B" w:rsidP="00A5001B">
      <w:pPr>
        <w:rPr>
          <w:b/>
          <w:bCs/>
        </w:rPr>
      </w:pPr>
      <w:r w:rsidRPr="00A5001B">
        <w:rPr>
          <w:b/>
          <w:bCs/>
        </w:rPr>
        <w:t>1. Screen and Ask the Right Questions</w:t>
      </w:r>
    </w:p>
    <w:p w14:paraId="2550C3F1" w14:textId="77777777" w:rsidR="00A5001B" w:rsidRPr="00A5001B" w:rsidRDefault="00A5001B" w:rsidP="004725F9">
      <w:pPr>
        <w:numPr>
          <w:ilvl w:val="0"/>
          <w:numId w:val="5"/>
        </w:numPr>
        <w:spacing w:after="0"/>
      </w:pPr>
      <w:r w:rsidRPr="00A5001B">
        <w:t>Incorporate questions into intake that identify potential brain injury or repeated overdose:</w:t>
      </w:r>
    </w:p>
    <w:p w14:paraId="2679BEA8" w14:textId="77777777" w:rsidR="00A5001B" w:rsidRPr="00A5001B" w:rsidRDefault="00A5001B" w:rsidP="004725F9">
      <w:pPr>
        <w:numPr>
          <w:ilvl w:val="1"/>
          <w:numId w:val="5"/>
        </w:numPr>
        <w:spacing w:after="0"/>
      </w:pPr>
      <w:r w:rsidRPr="00A5001B">
        <w:t>“Have you ever hit your head or been knocked unconscious?”</w:t>
      </w:r>
    </w:p>
    <w:p w14:paraId="2793FF29" w14:textId="77777777" w:rsidR="00A5001B" w:rsidRPr="00A5001B" w:rsidRDefault="00A5001B" w:rsidP="004725F9">
      <w:pPr>
        <w:numPr>
          <w:ilvl w:val="1"/>
          <w:numId w:val="5"/>
        </w:numPr>
        <w:spacing w:after="0"/>
      </w:pPr>
      <w:r w:rsidRPr="00A5001B">
        <w:t>“Have you overdosed recently? Did you feel different afterward?”</w:t>
      </w:r>
    </w:p>
    <w:p w14:paraId="73B09059" w14:textId="77777777" w:rsidR="00A5001B" w:rsidRPr="00A5001B" w:rsidRDefault="00A5001B" w:rsidP="004725F9">
      <w:pPr>
        <w:numPr>
          <w:ilvl w:val="1"/>
          <w:numId w:val="5"/>
        </w:numPr>
        <w:spacing w:after="0"/>
      </w:pPr>
      <w:r w:rsidRPr="00A5001B">
        <w:t>“Have you experienced changes in balance, vision, or memory?”</w:t>
      </w:r>
    </w:p>
    <w:p w14:paraId="579E98F9" w14:textId="77777777" w:rsidR="00A5001B" w:rsidRPr="00A5001B" w:rsidRDefault="00A5001B" w:rsidP="004725F9">
      <w:pPr>
        <w:numPr>
          <w:ilvl w:val="1"/>
          <w:numId w:val="5"/>
        </w:numPr>
      </w:pPr>
      <w:r w:rsidRPr="00A5001B">
        <w:t>“Has anyone ever put hands around your neck or caused you to black out?”</w:t>
      </w:r>
    </w:p>
    <w:p w14:paraId="7A5F5EFF" w14:textId="77777777" w:rsidR="00A5001B" w:rsidRPr="00A5001B" w:rsidRDefault="00A5001B" w:rsidP="00A5001B">
      <w:pPr>
        <w:rPr>
          <w:b/>
          <w:bCs/>
        </w:rPr>
      </w:pPr>
      <w:r w:rsidRPr="00A5001B">
        <w:rPr>
          <w:b/>
          <w:bCs/>
        </w:rPr>
        <w:t>2. Train Staff to Recognize Cognitive and Emotional Symptoms</w:t>
      </w:r>
    </w:p>
    <w:p w14:paraId="37CC54F9" w14:textId="7AC7CDAB" w:rsidR="00A5001B" w:rsidRPr="00A5001B" w:rsidRDefault="00A5001B" w:rsidP="00BB7C58">
      <w:pPr>
        <w:numPr>
          <w:ilvl w:val="0"/>
          <w:numId w:val="6"/>
        </w:numPr>
        <w:spacing w:after="0"/>
      </w:pPr>
      <w:r w:rsidRPr="00A5001B">
        <w:t>Educate teams on</w:t>
      </w:r>
      <w:r w:rsidR="00BB7C58">
        <w:t xml:space="preserve"> signs and</w:t>
      </w:r>
      <w:r w:rsidRPr="00A5001B">
        <w:t xml:space="preserve"> how brain injury can mimic “non-compliance.”</w:t>
      </w:r>
    </w:p>
    <w:p w14:paraId="34E4A382" w14:textId="77777777" w:rsidR="00A5001B" w:rsidRPr="00A5001B" w:rsidRDefault="00A5001B" w:rsidP="00BB7C58">
      <w:pPr>
        <w:numPr>
          <w:ilvl w:val="0"/>
          <w:numId w:val="6"/>
        </w:numPr>
      </w:pPr>
      <w:r w:rsidRPr="00A5001B">
        <w:t>Normalize symptoms like difficulty following instructions, fatigue, or emotional lability as potential signs of neurological injury.</w:t>
      </w:r>
    </w:p>
    <w:p w14:paraId="42617DE8" w14:textId="1A8092EC" w:rsidR="00A5001B" w:rsidRPr="00A5001B" w:rsidRDefault="00A5001B" w:rsidP="00A5001B">
      <w:pPr>
        <w:rPr>
          <w:b/>
          <w:bCs/>
        </w:rPr>
      </w:pPr>
      <w:r w:rsidRPr="00A5001B">
        <w:rPr>
          <w:b/>
          <w:bCs/>
        </w:rPr>
        <w:t xml:space="preserve">3. Accommodate Cognitive Impairments </w:t>
      </w:r>
    </w:p>
    <w:p w14:paraId="3127F24B" w14:textId="77777777" w:rsidR="00A5001B" w:rsidRPr="00A5001B" w:rsidRDefault="00A5001B" w:rsidP="004725F9">
      <w:pPr>
        <w:numPr>
          <w:ilvl w:val="0"/>
          <w:numId w:val="7"/>
        </w:numPr>
        <w:spacing w:after="0"/>
      </w:pPr>
      <w:r w:rsidRPr="00A5001B">
        <w:t>Use shorter sessions or more breaks.</w:t>
      </w:r>
    </w:p>
    <w:p w14:paraId="6486E5E2" w14:textId="77777777" w:rsidR="00A5001B" w:rsidRPr="00A5001B" w:rsidRDefault="00A5001B" w:rsidP="004725F9">
      <w:pPr>
        <w:numPr>
          <w:ilvl w:val="0"/>
          <w:numId w:val="7"/>
        </w:numPr>
        <w:spacing w:after="0"/>
      </w:pPr>
      <w:r w:rsidRPr="00A5001B">
        <w:t>Simplify material and use visuals.</w:t>
      </w:r>
    </w:p>
    <w:p w14:paraId="262E099C" w14:textId="77777777" w:rsidR="00A5001B" w:rsidRPr="00A5001B" w:rsidRDefault="00A5001B" w:rsidP="004725F9">
      <w:pPr>
        <w:numPr>
          <w:ilvl w:val="0"/>
          <w:numId w:val="7"/>
        </w:numPr>
        <w:spacing w:after="0"/>
      </w:pPr>
      <w:r w:rsidRPr="00A5001B">
        <w:t>Check comprehension regularly.</w:t>
      </w:r>
    </w:p>
    <w:p w14:paraId="4F337ED6" w14:textId="77777777" w:rsidR="00A5001B" w:rsidRPr="00A5001B" w:rsidRDefault="00A5001B" w:rsidP="004725F9">
      <w:pPr>
        <w:numPr>
          <w:ilvl w:val="0"/>
          <w:numId w:val="7"/>
        </w:numPr>
      </w:pPr>
      <w:r w:rsidRPr="00A5001B">
        <w:t>Decrease environmental distractions (lighting, noise, clutter).</w:t>
      </w:r>
    </w:p>
    <w:p w14:paraId="0595B76E" w14:textId="77777777" w:rsidR="00A5001B" w:rsidRPr="00A5001B" w:rsidRDefault="00A5001B" w:rsidP="00A5001B">
      <w:pPr>
        <w:rPr>
          <w:b/>
          <w:bCs/>
        </w:rPr>
      </w:pPr>
      <w:r w:rsidRPr="00A5001B">
        <w:rPr>
          <w:b/>
          <w:bCs/>
        </w:rPr>
        <w:t>4. Integrate Across Systems</w:t>
      </w:r>
    </w:p>
    <w:p w14:paraId="5BAAA8B6" w14:textId="77777777" w:rsidR="00A5001B" w:rsidRPr="00A5001B" w:rsidRDefault="00A5001B" w:rsidP="004725F9">
      <w:pPr>
        <w:numPr>
          <w:ilvl w:val="0"/>
          <w:numId w:val="8"/>
        </w:numPr>
        <w:spacing w:after="0"/>
      </w:pPr>
      <w:r w:rsidRPr="00A5001B">
        <w:t>Deflection teams should collaborate with:</w:t>
      </w:r>
    </w:p>
    <w:p w14:paraId="3D173F56" w14:textId="748A0257" w:rsidR="00A5001B" w:rsidRPr="00A5001B" w:rsidRDefault="00A5001B" w:rsidP="004725F9">
      <w:pPr>
        <w:numPr>
          <w:ilvl w:val="1"/>
          <w:numId w:val="8"/>
        </w:numPr>
        <w:spacing w:after="0"/>
      </w:pPr>
      <w:r w:rsidRPr="00A5001B">
        <w:rPr>
          <w:b/>
          <w:bCs/>
        </w:rPr>
        <w:t>Emergency departments</w:t>
      </w:r>
      <w:r w:rsidRPr="00A5001B">
        <w:t xml:space="preserve"> for real-time </w:t>
      </w:r>
      <w:r w:rsidR="00F13E71">
        <w:t>information</w:t>
      </w:r>
      <w:r w:rsidRPr="00A5001B">
        <w:t xml:space="preserve"> about overdoses.</w:t>
      </w:r>
    </w:p>
    <w:p w14:paraId="3FE58B54" w14:textId="77777777" w:rsidR="00A5001B" w:rsidRPr="00A5001B" w:rsidRDefault="00A5001B" w:rsidP="004725F9">
      <w:pPr>
        <w:numPr>
          <w:ilvl w:val="1"/>
          <w:numId w:val="8"/>
        </w:numPr>
        <w:spacing w:after="0"/>
      </w:pPr>
      <w:r w:rsidRPr="00A5001B">
        <w:rPr>
          <w:b/>
          <w:bCs/>
        </w:rPr>
        <w:t>Behavioral health providers</w:t>
      </w:r>
      <w:r w:rsidRPr="00A5001B">
        <w:t xml:space="preserve"> for neuro-informed SUD treatment.</w:t>
      </w:r>
    </w:p>
    <w:p w14:paraId="641EDB1F" w14:textId="77777777" w:rsidR="00A5001B" w:rsidRPr="00A5001B" w:rsidRDefault="00A5001B" w:rsidP="004725F9">
      <w:pPr>
        <w:numPr>
          <w:ilvl w:val="1"/>
          <w:numId w:val="8"/>
        </w:numPr>
        <w:spacing w:after="0"/>
      </w:pPr>
      <w:r w:rsidRPr="00A5001B">
        <w:rPr>
          <w:b/>
          <w:bCs/>
        </w:rPr>
        <w:t>Domestic violence advocates</w:t>
      </w:r>
      <w:r w:rsidRPr="00A5001B">
        <w:t xml:space="preserve"> to identify and address PIBI.</w:t>
      </w:r>
    </w:p>
    <w:p w14:paraId="0EC92AA7" w14:textId="77777777" w:rsidR="00A5001B" w:rsidRPr="00A5001B" w:rsidRDefault="00A5001B" w:rsidP="00F13E71">
      <w:pPr>
        <w:numPr>
          <w:ilvl w:val="1"/>
          <w:numId w:val="8"/>
        </w:numPr>
      </w:pPr>
      <w:r w:rsidRPr="00A5001B">
        <w:rPr>
          <w:b/>
          <w:bCs/>
        </w:rPr>
        <w:t>Courts and probation</w:t>
      </w:r>
      <w:r w:rsidRPr="00A5001B">
        <w:t xml:space="preserve"> to recognize and accommodate clients with BI.</w:t>
      </w:r>
    </w:p>
    <w:p w14:paraId="5675FBD8" w14:textId="77777777" w:rsidR="00A5001B" w:rsidRPr="00A5001B" w:rsidRDefault="00A5001B" w:rsidP="00A5001B">
      <w:pPr>
        <w:rPr>
          <w:b/>
          <w:bCs/>
        </w:rPr>
      </w:pPr>
      <w:r w:rsidRPr="00A5001B">
        <w:rPr>
          <w:b/>
          <w:bCs/>
        </w:rPr>
        <w:t>5. Avoid Mislabeling</w:t>
      </w:r>
    </w:p>
    <w:p w14:paraId="074B69A2" w14:textId="77777777" w:rsidR="00A5001B" w:rsidRPr="00A5001B" w:rsidRDefault="00A5001B" w:rsidP="00A5001B">
      <w:pPr>
        <w:numPr>
          <w:ilvl w:val="0"/>
          <w:numId w:val="9"/>
        </w:numPr>
      </w:pPr>
      <w:r w:rsidRPr="00A5001B">
        <w:t>Replace language like “resistant,” “noncompliant,” or “lazy” with “may have cognitive or emotional challenges requiring support.”</w:t>
      </w:r>
    </w:p>
    <w:p w14:paraId="73202F5C" w14:textId="43841627" w:rsidR="00A5001B" w:rsidRPr="00A5001B" w:rsidRDefault="00A5001B" w:rsidP="00A5001B"/>
    <w:p w14:paraId="34C5CF83" w14:textId="2867BBFE" w:rsidR="00A5001B" w:rsidRPr="00A5001B" w:rsidRDefault="00F13E71" w:rsidP="00A5001B">
      <w:pPr>
        <w:rPr>
          <w:b/>
          <w:bCs/>
        </w:rPr>
      </w:pPr>
      <w:r>
        <w:rPr>
          <w:b/>
          <w:bCs/>
        </w:rPr>
        <w:t>Presenter Info</w:t>
      </w:r>
    </w:p>
    <w:p w14:paraId="23B6AE6E" w14:textId="1E4E78FA" w:rsidR="00A5001B" w:rsidRDefault="00A5001B" w:rsidP="00F13E71">
      <w:pPr>
        <w:numPr>
          <w:ilvl w:val="0"/>
          <w:numId w:val="10"/>
        </w:numPr>
        <w:spacing w:after="0"/>
      </w:pPr>
      <w:r w:rsidRPr="00A5001B">
        <w:t>Cheryl Stahl</w:t>
      </w:r>
      <w:r w:rsidR="00F13E71">
        <w:t xml:space="preserve">:  </w:t>
      </w:r>
      <w:hyperlink r:id="rId8" w:history="1">
        <w:r w:rsidR="00F13E71" w:rsidRPr="00A5001B">
          <w:rPr>
            <w:rStyle w:val="Hyperlink"/>
          </w:rPr>
          <w:t>cheryls@odvn.org</w:t>
        </w:r>
      </w:hyperlink>
      <w:r w:rsidR="00F13E71">
        <w:t xml:space="preserve"> </w:t>
      </w:r>
    </w:p>
    <w:p w14:paraId="61E1484A" w14:textId="124D7FE1" w:rsidR="000B6745" w:rsidRDefault="00F13E71" w:rsidP="000B6745">
      <w:pPr>
        <w:numPr>
          <w:ilvl w:val="0"/>
          <w:numId w:val="10"/>
        </w:numPr>
        <w:spacing w:after="0"/>
      </w:pPr>
      <w:hyperlink r:id="rId9" w:history="1">
        <w:r w:rsidRPr="00F13E71">
          <w:rPr>
            <w:rStyle w:val="Hyperlink"/>
          </w:rPr>
          <w:t>Home - Ohio Domestic Violence Network</w:t>
        </w:r>
      </w:hyperlink>
    </w:p>
    <w:sectPr w:rsidR="000B674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8D53" w14:textId="77777777" w:rsidR="00A5001B" w:rsidRDefault="00A5001B" w:rsidP="00A5001B">
      <w:pPr>
        <w:spacing w:after="0" w:line="240" w:lineRule="auto"/>
      </w:pPr>
      <w:r>
        <w:separator/>
      </w:r>
    </w:p>
  </w:endnote>
  <w:endnote w:type="continuationSeparator" w:id="0">
    <w:p w14:paraId="192B283E" w14:textId="77777777" w:rsidR="00A5001B" w:rsidRDefault="00A5001B" w:rsidP="00A5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664B" w14:textId="77777777" w:rsidR="00A5001B" w:rsidRDefault="00A5001B" w:rsidP="00A5001B">
      <w:pPr>
        <w:spacing w:after="0" w:line="240" w:lineRule="auto"/>
      </w:pPr>
      <w:r>
        <w:separator/>
      </w:r>
    </w:p>
  </w:footnote>
  <w:footnote w:type="continuationSeparator" w:id="0">
    <w:p w14:paraId="71FAD256" w14:textId="77777777" w:rsidR="00A5001B" w:rsidRDefault="00A5001B" w:rsidP="00A5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F0FB" w14:textId="2F6BF4B1" w:rsidR="00A5001B" w:rsidRDefault="00A5001B" w:rsidP="00A5001B">
    <w:pPr>
      <w:pStyle w:val="Header"/>
      <w:jc w:val="center"/>
    </w:pPr>
    <w:r>
      <w:rPr>
        <w:rFonts w:ascii="Calibri Light" w:hAnsi="Calibri Light" w:cs="Calibri Light"/>
        <w:noProof/>
        <w:sz w:val="44"/>
        <w:szCs w:val="44"/>
      </w:rPr>
      <w:drawing>
        <wp:inline distT="0" distB="0" distL="0" distR="0" wp14:anchorId="39565233" wp14:editId="3F9C3C4E">
          <wp:extent cx="2352675" cy="695325"/>
          <wp:effectExtent l="0" t="0" r="9525" b="9525"/>
          <wp:docPr id="114164571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4D947" w14:textId="77777777" w:rsidR="00A5001B" w:rsidRDefault="00A50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4CF"/>
    <w:multiLevelType w:val="multilevel"/>
    <w:tmpl w:val="606E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92852"/>
    <w:multiLevelType w:val="multilevel"/>
    <w:tmpl w:val="391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44ACB"/>
    <w:multiLevelType w:val="multilevel"/>
    <w:tmpl w:val="0BB2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F1759"/>
    <w:multiLevelType w:val="multilevel"/>
    <w:tmpl w:val="E79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D1140"/>
    <w:multiLevelType w:val="multilevel"/>
    <w:tmpl w:val="1198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B60C6"/>
    <w:multiLevelType w:val="multilevel"/>
    <w:tmpl w:val="CDE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40CAE"/>
    <w:multiLevelType w:val="multilevel"/>
    <w:tmpl w:val="63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A7CB6"/>
    <w:multiLevelType w:val="multilevel"/>
    <w:tmpl w:val="521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83243"/>
    <w:multiLevelType w:val="multilevel"/>
    <w:tmpl w:val="E5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07E42"/>
    <w:multiLevelType w:val="multilevel"/>
    <w:tmpl w:val="F0B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974408">
    <w:abstractNumId w:val="5"/>
  </w:num>
  <w:num w:numId="2" w16cid:durableId="706418825">
    <w:abstractNumId w:val="4"/>
  </w:num>
  <w:num w:numId="3" w16cid:durableId="846795445">
    <w:abstractNumId w:val="9"/>
  </w:num>
  <w:num w:numId="4" w16cid:durableId="1420980359">
    <w:abstractNumId w:val="7"/>
  </w:num>
  <w:num w:numId="5" w16cid:durableId="1970865549">
    <w:abstractNumId w:val="3"/>
  </w:num>
  <w:num w:numId="6" w16cid:durableId="675233562">
    <w:abstractNumId w:val="2"/>
  </w:num>
  <w:num w:numId="7" w16cid:durableId="1244875512">
    <w:abstractNumId w:val="0"/>
  </w:num>
  <w:num w:numId="8" w16cid:durableId="2123303179">
    <w:abstractNumId w:val="8"/>
  </w:num>
  <w:num w:numId="9" w16cid:durableId="809245738">
    <w:abstractNumId w:val="1"/>
  </w:num>
  <w:num w:numId="10" w16cid:durableId="875459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1B"/>
    <w:rsid w:val="000B6745"/>
    <w:rsid w:val="004277F5"/>
    <w:rsid w:val="004725F9"/>
    <w:rsid w:val="00622C8B"/>
    <w:rsid w:val="006F0E06"/>
    <w:rsid w:val="008F6EA7"/>
    <w:rsid w:val="00A02463"/>
    <w:rsid w:val="00A5001B"/>
    <w:rsid w:val="00A829F1"/>
    <w:rsid w:val="00BB7C58"/>
    <w:rsid w:val="00C359A6"/>
    <w:rsid w:val="00F13E71"/>
    <w:rsid w:val="00FA1470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459A"/>
  <w15:chartTrackingRefBased/>
  <w15:docId w15:val="{C35E885E-81EA-41AD-822A-47A7779F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0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1B"/>
  </w:style>
  <w:style w:type="paragraph" w:styleId="Footer">
    <w:name w:val="footer"/>
    <w:basedOn w:val="Normal"/>
    <w:link w:val="FooterChar"/>
    <w:uiPriority w:val="99"/>
    <w:unhideWhenUsed/>
    <w:rsid w:val="00A5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1B"/>
  </w:style>
  <w:style w:type="character" w:styleId="Hyperlink">
    <w:name w:val="Hyperlink"/>
    <w:basedOn w:val="DefaultParagraphFont"/>
    <w:uiPriority w:val="99"/>
    <w:unhideWhenUsed/>
    <w:rsid w:val="00A50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0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yls@odv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dvn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29F.4839B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35DF-F223-4DF1-B06D-91BD69C0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Morgan</dc:creator>
  <cp:keywords/>
  <dc:description/>
  <cp:lastModifiedBy>Imari McGowan</cp:lastModifiedBy>
  <cp:revision>2</cp:revision>
  <dcterms:created xsi:type="dcterms:W3CDTF">2025-06-30T13:21:00Z</dcterms:created>
  <dcterms:modified xsi:type="dcterms:W3CDTF">2025-06-30T13:21:00Z</dcterms:modified>
</cp:coreProperties>
</file>